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618C9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9618C9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9618C9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10.03.2025</w:t>
      </w:r>
      <w:r w:rsidR="00182481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 xml:space="preserve">г.              </w:t>
      </w:r>
      <w:r w:rsidR="009140FE">
        <w:rPr>
          <w:rFonts w:ascii="Times New Roman" w:hAnsi="Times New Roman"/>
        </w:rPr>
        <w:t xml:space="preserve">              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14</w:t>
      </w:r>
    </w:p>
    <w:p w:rsidR="002E205F" w:rsidRPr="008C7B2E" w:rsidRDefault="00182481" w:rsidP="00EF42DA">
      <w:pPr>
        <w:ind w:firstLine="0"/>
        <w:rPr>
          <w:rFonts w:ascii="Times New Roman" w:hAnsi="Times New Roman"/>
        </w:rPr>
      </w:pPr>
      <w:r w:rsidRPr="00182481">
        <w:rPr>
          <w:rFonts w:ascii="Times New Roman" w:hAnsi="Times New Roman"/>
        </w:rPr>
        <w:t>с. 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9618C9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18C9">
        <w:rPr>
          <w:rFonts w:ascii="Times New Roman" w:hAnsi="Times New Roman" w:cs="Times New Roman"/>
          <w:b w:val="0"/>
          <w:sz w:val="28"/>
          <w:szCs w:val="28"/>
        </w:rPr>
        <w:t>05.12.2024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9618C9">
        <w:rPr>
          <w:rFonts w:ascii="Times New Roman" w:hAnsi="Times New Roman" w:cs="Times New Roman"/>
          <w:b w:val="0"/>
          <w:sz w:val="28"/>
          <w:szCs w:val="28"/>
        </w:rPr>
        <w:t>87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E0E" w:rsidRPr="000F0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 </w:t>
      </w:r>
      <w:r w:rsidR="009618C9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0F0E0E" w:rsidRPr="000F0E0E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0F0E0E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9618C9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F2EFE" w:rsidRPr="000F2EF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5360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 </w:t>
      </w:r>
      <w:r w:rsidR="009618C9">
        <w:rPr>
          <w:lang w:eastAsia="ru-RU"/>
        </w:rPr>
        <w:t>Ростошинского сельского поселения</w:t>
      </w:r>
      <w:r w:rsidR="000F0E0E" w:rsidRPr="000F0E0E">
        <w:rPr>
          <w:lang w:eastAsia="ru-RU"/>
        </w:rPr>
        <w:t xml:space="preserve">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27752D" w:rsidRPr="009140FE">
        <w:rPr>
          <w:lang w:eastAsia="ru-RU"/>
        </w:rPr>
        <w:t xml:space="preserve"> </w:t>
      </w:r>
      <w:r w:rsidR="009618C9">
        <w:rPr>
          <w:lang w:eastAsia="ru-RU"/>
        </w:rPr>
        <w:t>Ростошинского сельского поселения</w:t>
      </w:r>
      <w:r w:rsidR="0027752D" w:rsidRPr="0027752D">
        <w:rPr>
          <w:lang w:eastAsia="ru-RU"/>
        </w:rPr>
        <w:t xml:space="preserve">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9618C9">
        <w:rPr>
          <w:lang w:eastAsia="ru-RU"/>
        </w:rPr>
        <w:t>05.12.2024</w:t>
      </w:r>
      <w:r w:rsidR="00182481">
        <w:rPr>
          <w:lang w:eastAsia="ru-RU"/>
        </w:rPr>
        <w:t xml:space="preserve"> </w:t>
      </w:r>
      <w:r w:rsidR="0027752D" w:rsidRPr="009140FE">
        <w:rPr>
          <w:lang w:eastAsia="ru-RU"/>
        </w:rPr>
        <w:t>г. №</w:t>
      </w:r>
      <w:r w:rsidR="009618C9">
        <w:rPr>
          <w:lang w:eastAsia="ru-RU"/>
        </w:rPr>
        <w:t xml:space="preserve"> 87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7B7A0B" w:rsidRP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 w:rsidRPr="00050DD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соблюдение правил благоустройства территории </w:t>
      </w:r>
      <w:r w:rsidR="009618C9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050DD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области, утвержденных решением Совета народных депутатов  </w:t>
      </w:r>
      <w:r w:rsidR="009618C9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050DD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 от </w:t>
      </w:r>
      <w:r w:rsidR="00182481">
        <w:rPr>
          <w:rFonts w:ascii="Times New Roman" w:hAnsi="Times New Roman" w:cs="Times New Roman"/>
          <w:sz w:val="28"/>
          <w:szCs w:val="28"/>
        </w:rPr>
        <w:t>15.06.2012</w:t>
      </w:r>
      <w:r w:rsidRPr="00050DD3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2481">
        <w:rPr>
          <w:rFonts w:ascii="Times New Roman" w:hAnsi="Times New Roman" w:cs="Times New Roman"/>
          <w:sz w:val="28"/>
          <w:szCs w:val="28"/>
        </w:rPr>
        <w:t xml:space="preserve">13 в редакции решений( № 22 от 02.11.2012, № 97 от 25.12.2015, № 15 от 28.12.2018, № 79 от 25.12.2020, № 110 от 24.08.2021, </w:t>
      </w:r>
      <w:r w:rsidR="00182481" w:rsidRPr="009928BA">
        <w:rPr>
          <w:rFonts w:ascii="Times New Roman" w:hAnsi="Times New Roman" w:cs="Times New Roman"/>
          <w:sz w:val="28"/>
          <w:szCs w:val="28"/>
        </w:rPr>
        <w:t>№ 182 от 26.07.2023)</w:t>
      </w:r>
      <w:r w:rsidRPr="00050DD3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в соответствии с Правилами благоустройства;</w:t>
      </w:r>
    </w:p>
    <w:p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7B7A0B" w:rsidRP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050DD3" w:rsidRPr="00050DD3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территории  </w:t>
      </w:r>
      <w:r w:rsidR="009618C9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050DD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 </w:t>
      </w:r>
      <w:r w:rsidR="009618C9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050DD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области, в том числе предъявляемые к контролируемым лицам, осуществляющим деятельность, действия (бездействие);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объектами благоустройства являются: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9618C9">
        <w:rPr>
          <w:rFonts w:ascii="Times New Roman" w:hAnsi="Times New Roman" w:cs="Times New Roman"/>
          <w:sz w:val="28"/>
          <w:szCs w:val="28"/>
        </w:rPr>
        <w:t>Ростошинского сельского поселения</w:t>
      </w:r>
      <w:r w:rsidRPr="00050DD3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Воронежской области с расположенными на ней объектами, элементами благоустройства;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lastRenderedPageBreak/>
        <w:t>- объекты освещения и иное осветительное оборудование;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знаково-информационные системы;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уборка территории, в том числе в зимний период;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проведение земляных работ;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содержание прилегающих территорий;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некапитальные объекты, в том числе сезонные торговые;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инженерные коммуникации и сооружения;</w:t>
      </w:r>
    </w:p>
    <w:p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07D1" w:rsidRPr="00232685" w:rsidRDefault="00536034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:rsidR="007731D5" w:rsidRDefault="00536034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536034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1824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82481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182481" w:rsidRDefault="00182481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182481" w:rsidRDefault="00182481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9618C9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50DD3" w:rsidRPr="00050DD3">
        <w:rPr>
          <w:rFonts w:ascii="Times New Roman" w:hAnsi="Times New Roman"/>
          <w:sz w:val="28"/>
          <w:szCs w:val="28"/>
        </w:rPr>
        <w:t xml:space="preserve">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182481">
        <w:rPr>
          <w:rFonts w:ascii="Times New Roman" w:hAnsi="Times New Roman"/>
          <w:sz w:val="28"/>
          <w:szCs w:val="28"/>
        </w:rPr>
        <w:t>10.03.</w:t>
      </w:r>
      <w:r w:rsidR="00182481" w:rsidRPr="00182481">
        <w:rPr>
          <w:rFonts w:ascii="Times New Roman" w:hAnsi="Times New Roman"/>
          <w:sz w:val="28"/>
          <w:szCs w:val="28"/>
        </w:rPr>
        <w:t>2025</w:t>
      </w:r>
      <w:r w:rsidRPr="00182481">
        <w:rPr>
          <w:rFonts w:ascii="Times New Roman" w:hAnsi="Times New Roman"/>
          <w:sz w:val="28"/>
          <w:szCs w:val="28"/>
        </w:rPr>
        <w:t xml:space="preserve"> № </w:t>
      </w:r>
      <w:r w:rsidR="00182481" w:rsidRPr="00182481">
        <w:rPr>
          <w:rFonts w:ascii="Times New Roman" w:hAnsi="Times New Roman"/>
          <w:sz w:val="28"/>
          <w:szCs w:val="28"/>
        </w:rPr>
        <w:t>14</w:t>
      </w: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Pr="0024269B" w:rsidRDefault="0024269B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2426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369"/>
        <w:gridCol w:w="2637"/>
        <w:gridCol w:w="1989"/>
      </w:tblGrid>
      <w:tr w:rsidR="00182481" w:rsidRPr="0024269B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0"/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№ п/п</w:t>
            </w:r>
          </w:p>
          <w:p w:rsidR="0024269B" w:rsidRPr="0024269B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должностное лицо,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ответственное за реализацию</w:t>
            </w:r>
          </w:p>
        </w:tc>
      </w:tr>
      <w:tr w:rsidR="0024269B" w:rsidRPr="0024269B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182481" w:rsidRPr="0024269B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24269B" w:rsidRPr="0024269B" w:rsidRDefault="0024269B" w:rsidP="00182481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3C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8C9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мере необходимости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182481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1" w:rsidRPr="0024269B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182481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 </w:t>
            </w:r>
            <w:r w:rsidR="009618C9">
              <w:rPr>
                <w:rFonts w:ascii="Times New Roman" w:hAnsi="Times New Roman" w:cs="Times New Roman"/>
                <w:sz w:val="24"/>
                <w:szCs w:val="24"/>
              </w:rPr>
              <w:t>Ростошинского сельского поселения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182481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182481" w:rsidRPr="0024269B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182481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182481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 в течение всего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182481" w:rsidRPr="0024269B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24269B" w:rsidRPr="0024269B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в сфере благоустройства;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182481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182481" w:rsidRPr="0024269B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182481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24269B"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1" w:rsidRPr="0024269B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503" w:rsidRPr="0024269B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3C6503" w:rsidRPr="0024269B" w:rsidRDefault="00182481" w:rsidP="00182481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C80C2D"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</w:tc>
      </w:tr>
    </w:tbl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D62D3" w:rsidRPr="00050D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:rsidR="003D62D3" w:rsidRPr="00050DD3" w:rsidRDefault="009618C9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3D62D3" w:rsidRPr="00050DD3">
        <w:rPr>
          <w:rFonts w:ascii="Times New Roman" w:hAnsi="Times New Roman"/>
          <w:sz w:val="28"/>
          <w:szCs w:val="28"/>
        </w:rPr>
        <w:t xml:space="preserve"> </w:t>
      </w:r>
    </w:p>
    <w:p w:rsidR="003D62D3" w:rsidRPr="00050D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3D62D3" w:rsidRPr="00050D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D62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182481">
        <w:rPr>
          <w:rFonts w:ascii="Times New Roman" w:hAnsi="Times New Roman"/>
          <w:sz w:val="28"/>
          <w:szCs w:val="28"/>
        </w:rPr>
        <w:t>10.03.</w:t>
      </w:r>
      <w:r w:rsidR="00182481" w:rsidRPr="00182481">
        <w:rPr>
          <w:rFonts w:ascii="Times New Roman" w:hAnsi="Times New Roman"/>
          <w:sz w:val="28"/>
          <w:szCs w:val="28"/>
        </w:rPr>
        <w:t>2025</w:t>
      </w:r>
      <w:r w:rsidRPr="00182481">
        <w:rPr>
          <w:rFonts w:ascii="Times New Roman" w:hAnsi="Times New Roman"/>
          <w:sz w:val="28"/>
          <w:szCs w:val="28"/>
        </w:rPr>
        <w:t xml:space="preserve"> № </w:t>
      </w:r>
      <w:r w:rsidR="00182481" w:rsidRPr="00182481">
        <w:rPr>
          <w:rFonts w:ascii="Times New Roman" w:hAnsi="Times New Roman"/>
          <w:sz w:val="28"/>
          <w:szCs w:val="28"/>
        </w:rPr>
        <w:t>14</w:t>
      </w: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288"/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</w:p>
    <w:p w:rsidR="003D62D3" w:rsidRP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 профилактики</w:t>
      </w:r>
    </w:p>
    <w:bookmarkEnd w:id="1"/>
    <w:p w:rsidR="003D62D3" w:rsidRPr="003F5502" w:rsidRDefault="003D62D3" w:rsidP="003D62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3D62D3" w:rsidRPr="003D62D3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№</w:t>
            </w:r>
          </w:p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3D62D3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D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D62D3" w:rsidRPr="003D62D3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</w:t>
            </w:r>
          </w:p>
        </w:tc>
      </w:tr>
      <w:tr w:rsidR="003D62D3" w:rsidRPr="003D62D3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 от числа обратившихся</w:t>
            </w:r>
          </w:p>
        </w:tc>
      </w:tr>
      <w:tr w:rsidR="003D62D3" w:rsidRPr="003D62D3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3D62D3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3D62D3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20% и более</w:t>
            </w:r>
          </w:p>
        </w:tc>
      </w:tr>
    </w:tbl>
    <w:p w:rsidR="003D62D3" w:rsidRPr="00B45849" w:rsidRDefault="003D62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8C" w:rsidRDefault="0049358C" w:rsidP="00575454">
      <w:r>
        <w:separator/>
      </w:r>
    </w:p>
  </w:endnote>
  <w:endnote w:type="continuationSeparator" w:id="0">
    <w:p w:rsidR="0049358C" w:rsidRDefault="0049358C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8C" w:rsidRDefault="0049358C" w:rsidP="00575454">
      <w:r>
        <w:separator/>
      </w:r>
    </w:p>
  </w:footnote>
  <w:footnote w:type="continuationSeparator" w:id="0">
    <w:p w:rsidR="0049358C" w:rsidRDefault="0049358C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C272D7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9928BA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50DD3"/>
    <w:rsid w:val="000F0E0E"/>
    <w:rsid w:val="000F2EFE"/>
    <w:rsid w:val="00107A00"/>
    <w:rsid w:val="00182481"/>
    <w:rsid w:val="001C3DCB"/>
    <w:rsid w:val="00202734"/>
    <w:rsid w:val="00202E2C"/>
    <w:rsid w:val="0022322B"/>
    <w:rsid w:val="0024269B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AE6"/>
    <w:rsid w:val="00460894"/>
    <w:rsid w:val="004723BF"/>
    <w:rsid w:val="0047565B"/>
    <w:rsid w:val="0049358C"/>
    <w:rsid w:val="004A7CF9"/>
    <w:rsid w:val="004C130B"/>
    <w:rsid w:val="004F312E"/>
    <w:rsid w:val="005310A6"/>
    <w:rsid w:val="00536034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18C9"/>
    <w:rsid w:val="009629E4"/>
    <w:rsid w:val="009928BA"/>
    <w:rsid w:val="009934D7"/>
    <w:rsid w:val="009A2915"/>
    <w:rsid w:val="009F6909"/>
    <w:rsid w:val="00A50544"/>
    <w:rsid w:val="00A87601"/>
    <w:rsid w:val="00A90477"/>
    <w:rsid w:val="00B17303"/>
    <w:rsid w:val="00B512B4"/>
    <w:rsid w:val="00B5709E"/>
    <w:rsid w:val="00B93D8C"/>
    <w:rsid w:val="00B94120"/>
    <w:rsid w:val="00BB20DB"/>
    <w:rsid w:val="00BB5DAA"/>
    <w:rsid w:val="00C2351B"/>
    <w:rsid w:val="00C272D7"/>
    <w:rsid w:val="00C80C2D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2025-03-12T06:36:00Z</cp:lastPrinted>
  <dcterms:created xsi:type="dcterms:W3CDTF">2025-03-12T06:37:00Z</dcterms:created>
  <dcterms:modified xsi:type="dcterms:W3CDTF">2025-03-12T06:37:00Z</dcterms:modified>
</cp:coreProperties>
</file>